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9E0064">
        <w:rPr>
          <w:rFonts w:cs="Arial"/>
          <w:sz w:val="20"/>
        </w:rPr>
        <w:t>2</w:t>
      </w:r>
      <w:r w:rsidR="00D27C56">
        <w:rPr>
          <w:rFonts w:cs="Arial"/>
          <w:sz w:val="20"/>
        </w:rPr>
        <w:t>-</w:t>
      </w:r>
      <w:r w:rsidR="00D34BEE">
        <w:rPr>
          <w:rFonts w:cs="Arial"/>
          <w:sz w:val="20"/>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714831">
        <w:rPr>
          <w:rFonts w:eastAsia="宋体"/>
          <w:lang w:eastAsia="zh-CN"/>
        </w:rPr>
        <w:t xml:space="preserve"> </w:t>
      </w:r>
      <w:r w:rsidR="00AE16DB">
        <w:rPr>
          <w:rFonts w:eastAsia="宋体"/>
          <w:lang w:eastAsia="zh-CN"/>
        </w:rPr>
        <w:t xml:space="preserve">  </w:t>
      </w:r>
      <w:r w:rsidR="00FE4927">
        <w:t>R4-2205599</w:t>
      </w:r>
      <w:bookmarkStart w:id="2" w:name="_GoBack"/>
      <w:bookmarkEnd w:id="2"/>
    </w:p>
    <w:p w:rsidR="00675C27" w:rsidRPr="00444A16" w:rsidRDefault="009E0064" w:rsidP="00F71A33">
      <w:pPr>
        <w:pStyle w:val="a1"/>
        <w:rPr>
          <w:rFonts w:eastAsia="宋体"/>
          <w:lang w:eastAsia="zh-CN"/>
        </w:rPr>
      </w:pPr>
      <w:r w:rsidRPr="00D921B9">
        <w:rPr>
          <w:rFonts w:eastAsia="宋体"/>
          <w:lang w:eastAsia="zh-CN"/>
        </w:rPr>
        <w:t xml:space="preserve">Electronic Meeting, </w:t>
      </w:r>
      <w:r>
        <w:rPr>
          <w:rFonts w:eastAsia="宋体" w:hint="eastAsia"/>
          <w:lang w:eastAsia="zh-CN"/>
        </w:rPr>
        <w:t>Feb</w:t>
      </w:r>
      <w:r w:rsidRPr="00DF6254">
        <w:rPr>
          <w:rFonts w:eastAsia="宋体"/>
          <w:lang w:eastAsia="zh-CN"/>
        </w:rPr>
        <w:t xml:space="preserve"> </w:t>
      </w:r>
      <w:r>
        <w:rPr>
          <w:rFonts w:eastAsia="宋体"/>
          <w:lang w:eastAsia="zh-CN"/>
        </w:rPr>
        <w:t>21</w:t>
      </w:r>
      <w:r w:rsidRPr="00DF6254">
        <w:rPr>
          <w:rFonts w:eastAsia="宋体"/>
          <w:lang w:eastAsia="zh-CN"/>
        </w:rPr>
        <w:t>-</w:t>
      </w:r>
      <w:r>
        <w:rPr>
          <w:rFonts w:eastAsia="宋体"/>
          <w:lang w:eastAsia="zh-CN"/>
        </w:rPr>
        <w:t xml:space="preserve"> Mar 03</w:t>
      </w:r>
      <w:r w:rsidRPr="00DF6254">
        <w:rPr>
          <w:rFonts w:eastAsia="宋体"/>
          <w:lang w:eastAsia="zh-CN"/>
        </w:rPr>
        <w:t>,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14831" w:rsidRPr="00714831">
        <w:rPr>
          <w:rFonts w:ascii="Arial" w:hAnsi="Arial" w:cs="Arial"/>
          <w:sz w:val="22"/>
        </w:rPr>
        <w:t>On RF requirements for FR2 inter-band UL CA</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14831" w:rsidRPr="00714831">
        <w:rPr>
          <w:rFonts w:ascii="Arial" w:hAnsi="Arial" w:cs="Arial"/>
          <w:sz w:val="22"/>
        </w:rPr>
        <w:t>10.4.2.2.1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D6540A" w:rsidRPr="00355387" w:rsidRDefault="00D6540A" w:rsidP="00D6540A">
      <w:pPr>
        <w:rPr>
          <w:lang w:val="en-US"/>
        </w:rPr>
      </w:pPr>
      <w:r>
        <w:rPr>
          <w:lang w:val="en-US"/>
        </w:rPr>
        <w:t xml:space="preserve">Remaining issues for </w:t>
      </w:r>
      <w:r w:rsidRPr="00395BA7">
        <w:rPr>
          <w:lang w:val="en-US"/>
        </w:rPr>
        <w:t xml:space="preserve">FR2 </w:t>
      </w:r>
      <w:r>
        <w:rPr>
          <w:lang w:val="en-US"/>
        </w:rPr>
        <w:t>UL</w:t>
      </w:r>
      <w:r w:rsidRPr="00395BA7">
        <w:rPr>
          <w:lang w:val="en-US"/>
        </w:rPr>
        <w:t xml:space="preserve"> CA</w:t>
      </w:r>
      <w:r>
        <w:rPr>
          <w:lang w:val="en-US"/>
        </w:rPr>
        <w:t xml:space="preserve"> are listed in the WF [1], still some issues to be finalized. </w:t>
      </w:r>
    </w:p>
    <w:p w:rsidR="00D6540A" w:rsidRDefault="00D6540A" w:rsidP="00D6540A">
      <w:r>
        <w:rPr>
          <w:lang w:val="x-none"/>
        </w:rPr>
        <w:t>This contribution provides our views on the remaining issues.</w:t>
      </w:r>
    </w:p>
    <w:p w:rsidR="00062E8E" w:rsidRDefault="00062E8E" w:rsidP="00F23E96">
      <w:pPr>
        <w:pStyle w:val="Heading1"/>
        <w:spacing w:after="240"/>
        <w:rPr>
          <w:rFonts w:eastAsia="宋体"/>
          <w:lang w:eastAsia="zh-CN"/>
        </w:rPr>
      </w:pPr>
      <w:r>
        <w:rPr>
          <w:rFonts w:eastAsia="宋体" w:hint="eastAsia"/>
          <w:lang w:eastAsia="zh-CN"/>
        </w:rPr>
        <w:t>Discussion</w:t>
      </w:r>
    </w:p>
    <w:p w:rsidR="00D6540A" w:rsidRPr="00D6540A" w:rsidRDefault="00D6540A" w:rsidP="00D6540A">
      <w:pPr>
        <w:rPr>
          <w:b/>
          <w:u w:val="single"/>
          <w:lang w:val="x-none"/>
        </w:rPr>
      </w:pPr>
      <w:r w:rsidRPr="00D6540A">
        <w:rPr>
          <w:b/>
          <w:u w:val="single"/>
          <w:lang w:val="x-none"/>
        </w:rPr>
        <w:t>Relaxation to the min. peak EIRP requirement</w:t>
      </w:r>
    </w:p>
    <w:p w:rsidR="00D6540A" w:rsidRPr="00D6540A" w:rsidRDefault="00D6540A" w:rsidP="00D6540A">
      <w:pPr>
        <w:pStyle w:val="ListParagraph"/>
        <w:widowControl/>
        <w:numPr>
          <w:ilvl w:val="0"/>
          <w:numId w:val="45"/>
        </w:numPr>
        <w:ind w:firstLineChars="0"/>
        <w:contextualSpacing/>
        <w:jc w:val="left"/>
        <w:rPr>
          <w:rFonts w:ascii="Times New Roman" w:hAnsi="Times New Roman"/>
          <w:bCs/>
          <w:sz w:val="20"/>
          <w:lang w:val="en-US"/>
        </w:rPr>
      </w:pPr>
      <w:r w:rsidRPr="00D6540A">
        <w:rPr>
          <w:rFonts w:ascii="Times New Roman" w:hAnsi="Times New Roman"/>
          <w:bCs/>
          <w:sz w:val="20"/>
          <w:lang w:val="en-US"/>
        </w:rPr>
        <w:t xml:space="preserve">This category is equivalent to X(Y) in prior discussion, or alternatively </w:t>
      </w:r>
      <w:proofErr w:type="gramStart"/>
      <w:r w:rsidRPr="00D6540A">
        <w:rPr>
          <w:rFonts w:ascii="Times New Roman" w:hAnsi="Times New Roman"/>
          <w:bCs/>
          <w:sz w:val="20"/>
          <w:lang w:val="en-US"/>
        </w:rPr>
        <w:t>delta(</w:t>
      </w:r>
      <w:proofErr w:type="spellStart"/>
      <w:proofErr w:type="gramEnd"/>
      <w:r w:rsidRPr="00D6540A">
        <w:rPr>
          <w:rFonts w:ascii="Times New Roman" w:hAnsi="Times New Roman"/>
          <w:bCs/>
          <w:sz w:val="20"/>
          <w:lang w:val="en-US"/>
        </w:rPr>
        <w:t>TIB_peak</w:t>
      </w:r>
      <w:proofErr w:type="spellEnd"/>
      <w:r w:rsidRPr="00D6540A">
        <w:rPr>
          <w:rFonts w:ascii="Times New Roman" w:hAnsi="Times New Roman"/>
          <w:bCs/>
          <w:sz w:val="20"/>
          <w:lang w:val="en-US"/>
        </w:rPr>
        <w:t xml:space="preserve">) in spec. language. </w:t>
      </w:r>
    </w:p>
    <w:p w:rsidR="00D6540A" w:rsidRPr="00D6540A" w:rsidRDefault="00D6540A" w:rsidP="00D6540A">
      <w:pPr>
        <w:pStyle w:val="ListParagraph"/>
        <w:widowControl/>
        <w:numPr>
          <w:ilvl w:val="0"/>
          <w:numId w:val="45"/>
        </w:numPr>
        <w:ind w:firstLineChars="0"/>
        <w:contextualSpacing/>
        <w:jc w:val="left"/>
        <w:rPr>
          <w:rFonts w:ascii="Times New Roman" w:hAnsi="Times New Roman"/>
          <w:bCs/>
          <w:sz w:val="20"/>
          <w:lang w:val="en-US"/>
        </w:rPr>
      </w:pPr>
      <w:r w:rsidRPr="00D6540A">
        <w:rPr>
          <w:rFonts w:ascii="Times New Roman" w:hAnsi="Times New Roman"/>
          <w:bCs/>
          <w:sz w:val="20"/>
          <w:lang w:val="en-US"/>
        </w:rPr>
        <w:t xml:space="preserve">Relaxation applies relative to min. peak EIRP in </w:t>
      </w:r>
      <w:proofErr w:type="gramStart"/>
      <w:r w:rsidRPr="00D6540A">
        <w:rPr>
          <w:rFonts w:ascii="Times New Roman" w:hAnsi="Times New Roman"/>
          <w:bCs/>
          <w:sz w:val="20"/>
          <w:lang w:val="en-US"/>
        </w:rPr>
        <w:t>tables</w:t>
      </w:r>
      <w:proofErr w:type="gramEnd"/>
      <w:r w:rsidRPr="00D6540A">
        <w:rPr>
          <w:rFonts w:ascii="Times New Roman" w:hAnsi="Times New Roman"/>
          <w:bCs/>
          <w:sz w:val="20"/>
          <w:lang w:val="en-US"/>
        </w:rPr>
        <w:t xml:space="preserve"> 6.2.1.x-1. (single-band single-CC min. peak EIRP requirements without MBR)</w:t>
      </w:r>
    </w:p>
    <w:p w:rsidR="00D6540A" w:rsidRPr="00D6540A" w:rsidRDefault="00D6540A" w:rsidP="00D6540A">
      <w:pPr>
        <w:pStyle w:val="ListParagraph"/>
        <w:widowControl/>
        <w:numPr>
          <w:ilvl w:val="0"/>
          <w:numId w:val="45"/>
        </w:numPr>
        <w:ind w:firstLineChars="0"/>
        <w:contextualSpacing/>
        <w:jc w:val="left"/>
        <w:rPr>
          <w:rFonts w:ascii="Times New Roman" w:hAnsi="Times New Roman"/>
          <w:bCs/>
          <w:sz w:val="20"/>
          <w:lang w:val="en-US"/>
        </w:rPr>
      </w:pPr>
      <w:r w:rsidRPr="00D6540A">
        <w:rPr>
          <w:rFonts w:ascii="Times New Roman" w:hAnsi="Times New Roman"/>
          <w:bCs/>
          <w:sz w:val="20"/>
          <w:lang w:val="en-US"/>
        </w:rPr>
        <w:t>Relaxation from CA MPR is separately applicable.</w:t>
      </w:r>
    </w:p>
    <w:p w:rsidR="00D6540A" w:rsidRPr="00D6540A" w:rsidRDefault="00D6540A" w:rsidP="00D6540A">
      <w:pPr>
        <w:pStyle w:val="ListParagraph"/>
        <w:widowControl/>
        <w:numPr>
          <w:ilvl w:val="0"/>
          <w:numId w:val="45"/>
        </w:numPr>
        <w:ind w:firstLineChars="0"/>
        <w:contextualSpacing/>
        <w:jc w:val="left"/>
        <w:rPr>
          <w:rFonts w:ascii="Times New Roman" w:hAnsi="Times New Roman"/>
          <w:bCs/>
          <w:sz w:val="20"/>
          <w:lang w:val="en-US"/>
        </w:rPr>
      </w:pPr>
      <w:r w:rsidRPr="00D6540A">
        <w:rPr>
          <w:rFonts w:ascii="Times New Roman" w:hAnsi="Times New Roman"/>
          <w:bCs/>
          <w:sz w:val="20"/>
          <w:lang w:val="en-US"/>
        </w:rPr>
        <w:t>Included mechanisms that contribute to relaxation are listed below:</w:t>
      </w:r>
    </w:p>
    <w:p w:rsidR="00D6540A" w:rsidRPr="00D6540A" w:rsidRDefault="00D6540A" w:rsidP="00D6540A">
      <w:pPr>
        <w:pStyle w:val="ListParagraph"/>
        <w:widowControl/>
        <w:numPr>
          <w:ilvl w:val="1"/>
          <w:numId w:val="45"/>
        </w:numPr>
        <w:ind w:firstLineChars="0"/>
        <w:contextualSpacing/>
        <w:jc w:val="left"/>
        <w:rPr>
          <w:rFonts w:ascii="Times New Roman" w:hAnsi="Times New Roman"/>
          <w:bCs/>
          <w:sz w:val="20"/>
          <w:lang w:val="en-US"/>
        </w:rPr>
      </w:pPr>
      <w:r w:rsidRPr="00D6540A">
        <w:rPr>
          <w:rFonts w:ascii="Times New Roman" w:hAnsi="Times New Roman"/>
          <w:bCs/>
          <w:sz w:val="20"/>
          <w:lang w:val="en-US"/>
        </w:rPr>
        <w:t>MBR from section 6.2.1</w:t>
      </w:r>
    </w:p>
    <w:p w:rsidR="00D6540A" w:rsidRPr="006758E0" w:rsidRDefault="00D6540A" w:rsidP="00D6540A">
      <w:pPr>
        <w:pStyle w:val="ListParagraph"/>
        <w:widowControl/>
        <w:numPr>
          <w:ilvl w:val="1"/>
          <w:numId w:val="45"/>
        </w:numPr>
        <w:ind w:firstLineChars="0"/>
        <w:contextualSpacing/>
        <w:jc w:val="left"/>
        <w:rPr>
          <w:rFonts w:ascii="Times New Roman" w:hAnsi="Times New Roman"/>
          <w:bCs/>
          <w:sz w:val="20"/>
          <w:highlight w:val="yellow"/>
          <w:lang w:val="en-US"/>
        </w:rPr>
      </w:pPr>
      <w:r w:rsidRPr="006758E0">
        <w:rPr>
          <w:rFonts w:ascii="Times New Roman" w:hAnsi="Times New Roman"/>
          <w:bCs/>
          <w:sz w:val="20"/>
          <w:highlight w:val="yellow"/>
          <w:lang w:val="en-US"/>
        </w:rPr>
        <w:t xml:space="preserve">FFS if ‘Total power concept’ is included in list of mechanisms that contribute to </w:t>
      </w:r>
      <w:proofErr w:type="gramStart"/>
      <w:r w:rsidRPr="006758E0">
        <w:rPr>
          <w:rFonts w:ascii="Times New Roman" w:hAnsi="Times New Roman"/>
          <w:bCs/>
          <w:sz w:val="20"/>
          <w:highlight w:val="yellow"/>
          <w:lang w:val="en-US"/>
        </w:rPr>
        <w:t>delta(</w:t>
      </w:r>
      <w:proofErr w:type="spellStart"/>
      <w:proofErr w:type="gramEnd"/>
      <w:r w:rsidRPr="006758E0">
        <w:rPr>
          <w:rFonts w:ascii="Times New Roman" w:hAnsi="Times New Roman"/>
          <w:bCs/>
          <w:sz w:val="20"/>
          <w:highlight w:val="yellow"/>
          <w:lang w:val="en-US"/>
        </w:rPr>
        <w:t>TIB_peak</w:t>
      </w:r>
      <w:proofErr w:type="spellEnd"/>
      <w:r w:rsidRPr="006758E0">
        <w:rPr>
          <w:rFonts w:ascii="Times New Roman" w:hAnsi="Times New Roman"/>
          <w:bCs/>
          <w:sz w:val="20"/>
          <w:highlight w:val="yellow"/>
          <w:lang w:val="en-US"/>
        </w:rPr>
        <w:t>) value. Discuss in next meeting, including why or why not relaxation due to thermal should be standardized.</w:t>
      </w:r>
    </w:p>
    <w:p w:rsidR="00D6540A" w:rsidRPr="00D6540A" w:rsidRDefault="00D6540A" w:rsidP="00D6540A">
      <w:pPr>
        <w:pStyle w:val="ListParagraph"/>
        <w:widowControl/>
        <w:numPr>
          <w:ilvl w:val="0"/>
          <w:numId w:val="45"/>
        </w:numPr>
        <w:ind w:firstLineChars="0"/>
        <w:contextualSpacing/>
        <w:jc w:val="left"/>
        <w:rPr>
          <w:rFonts w:ascii="Times New Roman" w:hAnsi="Times New Roman"/>
          <w:bCs/>
          <w:sz w:val="20"/>
          <w:lang w:val="en-US"/>
        </w:rPr>
      </w:pPr>
      <w:r w:rsidRPr="00D6540A">
        <w:rPr>
          <w:rFonts w:ascii="Times New Roman" w:hAnsi="Times New Roman"/>
          <w:bCs/>
          <w:sz w:val="20"/>
          <w:lang w:val="en-US"/>
        </w:rPr>
        <w:t>On array configuration change between single band UL and inter-band ULCA (examples: splitting array by polarization, splitting array into multiple sub-arrays):</w:t>
      </w:r>
    </w:p>
    <w:p w:rsidR="00D6540A" w:rsidRPr="00D6540A" w:rsidRDefault="00D6540A" w:rsidP="00D6540A">
      <w:pPr>
        <w:pStyle w:val="ListParagraph"/>
        <w:widowControl/>
        <w:numPr>
          <w:ilvl w:val="1"/>
          <w:numId w:val="45"/>
        </w:numPr>
        <w:ind w:firstLineChars="0"/>
        <w:contextualSpacing/>
        <w:jc w:val="left"/>
        <w:rPr>
          <w:rFonts w:ascii="Times New Roman" w:hAnsi="Times New Roman"/>
          <w:bCs/>
          <w:sz w:val="20"/>
          <w:lang w:val="en-US"/>
        </w:rPr>
      </w:pPr>
      <w:r w:rsidRPr="00D6540A">
        <w:rPr>
          <w:rFonts w:ascii="Times New Roman" w:hAnsi="Times New Roman"/>
          <w:bCs/>
          <w:sz w:val="20"/>
          <w:lang w:val="en-US"/>
        </w:rPr>
        <w:t xml:space="preserve">UEs are not precluded from using this technique. </w:t>
      </w:r>
    </w:p>
    <w:p w:rsidR="00D6540A" w:rsidRPr="00D6540A" w:rsidRDefault="00D6540A" w:rsidP="00D6540A">
      <w:pPr>
        <w:pStyle w:val="ListParagraph"/>
        <w:widowControl/>
        <w:numPr>
          <w:ilvl w:val="1"/>
          <w:numId w:val="45"/>
        </w:numPr>
        <w:ind w:firstLineChars="0"/>
        <w:contextualSpacing/>
        <w:jc w:val="left"/>
        <w:rPr>
          <w:rFonts w:ascii="Times New Roman" w:hAnsi="Times New Roman"/>
          <w:bCs/>
          <w:sz w:val="20"/>
          <w:lang w:val="en-US"/>
        </w:rPr>
      </w:pPr>
      <w:r w:rsidRPr="00D6540A">
        <w:rPr>
          <w:rFonts w:ascii="Times New Roman" w:hAnsi="Times New Roman"/>
          <w:bCs/>
          <w:sz w:val="20"/>
          <w:lang w:val="en-US"/>
        </w:rPr>
        <w:t xml:space="preserve">This technique is not included in list of mechanisms that contribute to </w:t>
      </w:r>
      <w:proofErr w:type="gramStart"/>
      <w:r w:rsidRPr="00D6540A">
        <w:rPr>
          <w:rFonts w:ascii="Times New Roman" w:hAnsi="Times New Roman"/>
          <w:bCs/>
          <w:sz w:val="20"/>
          <w:lang w:val="en-US"/>
        </w:rPr>
        <w:t>delta(</w:t>
      </w:r>
      <w:proofErr w:type="spellStart"/>
      <w:proofErr w:type="gramEnd"/>
      <w:r w:rsidRPr="00D6540A">
        <w:rPr>
          <w:rFonts w:ascii="Times New Roman" w:hAnsi="Times New Roman"/>
          <w:bCs/>
          <w:sz w:val="20"/>
          <w:lang w:val="en-US"/>
        </w:rPr>
        <w:t>TIB_peak</w:t>
      </w:r>
      <w:proofErr w:type="spellEnd"/>
      <w:r w:rsidRPr="00D6540A">
        <w:rPr>
          <w:rFonts w:ascii="Times New Roman" w:hAnsi="Times New Roman"/>
          <w:bCs/>
          <w:sz w:val="20"/>
          <w:lang w:val="en-US"/>
        </w:rPr>
        <w:t xml:space="preserve">) value. </w:t>
      </w:r>
    </w:p>
    <w:p w:rsidR="00D6540A" w:rsidRDefault="00B56C25" w:rsidP="005369EE">
      <w:pPr>
        <w:rPr>
          <w:lang w:val="en-US" w:eastAsia="en-US"/>
        </w:rPr>
      </w:pPr>
      <w:r>
        <w:rPr>
          <w:lang w:val="en-US" w:eastAsia="en-US"/>
        </w:rPr>
        <w:t xml:space="preserve">In last meeting, for total power concept, we proposed for the following definition of </w:t>
      </w:r>
      <w:proofErr w:type="spellStart"/>
      <w:r w:rsidRPr="00B56C25">
        <w:rPr>
          <w:lang w:val="en-US" w:eastAsia="en-US"/>
        </w:rPr>
        <w:t>Pumax</w:t>
      </w:r>
      <w:proofErr w:type="spellEnd"/>
      <w:r w:rsidRPr="00B56C25">
        <w:rPr>
          <w:lang w:val="en-US" w:eastAsia="en-US"/>
        </w:rPr>
        <w:t xml:space="preserve"> and </w:t>
      </w:r>
      <w:proofErr w:type="spellStart"/>
      <w:r w:rsidRPr="00B56C25">
        <w:rPr>
          <w:lang w:val="en-US" w:eastAsia="en-US"/>
        </w:rPr>
        <w:t>Ptmax</w:t>
      </w:r>
      <w:proofErr w:type="spellEnd"/>
      <w:r w:rsidRPr="00B56C25">
        <w:rPr>
          <w:lang w:val="en-US" w:eastAsia="en-US"/>
        </w:rPr>
        <w:t xml:space="preserve"> for CA</w:t>
      </w:r>
      <w:r>
        <w:rPr>
          <w:lang w:val="en-US" w:eastAsia="en-US"/>
        </w:rPr>
        <w:t>, i.e.</w:t>
      </w:r>
    </w:p>
    <w:p w:rsidR="00B56C25" w:rsidRPr="00B56C25" w:rsidRDefault="00B56C25" w:rsidP="00B56C25">
      <w:pPr>
        <w:spacing w:after="120"/>
        <w:jc w:val="center"/>
        <w:rPr>
          <w:rFonts w:eastAsiaTheme="minorEastAsia"/>
          <w:color w:val="000000" w:themeColor="text1"/>
          <w:lang w:val="en-US"/>
        </w:rPr>
      </w:pPr>
      <w:r w:rsidRPr="00B56C25">
        <w:rPr>
          <w:rFonts w:eastAsiaTheme="minorEastAsia"/>
          <w:color w:val="000000" w:themeColor="text1"/>
          <w:lang w:val="en-US"/>
        </w:rPr>
        <w:t xml:space="preserve">∑ (min </w:t>
      </w:r>
      <w:proofErr w:type="spellStart"/>
      <w:r w:rsidRPr="00B56C25">
        <w:rPr>
          <w:rFonts w:eastAsiaTheme="minorEastAsia"/>
          <w:color w:val="000000" w:themeColor="text1"/>
          <w:lang w:val="en-US"/>
        </w:rPr>
        <w:t>EIRP</w:t>
      </w:r>
      <w:r w:rsidRPr="00B56C25">
        <w:rPr>
          <w:rFonts w:eastAsiaTheme="minorEastAsia"/>
          <w:color w:val="000000" w:themeColor="text1"/>
          <w:vertAlign w:val="subscript"/>
          <w:lang w:val="en-US"/>
        </w:rPr>
        <w:t>f</w:t>
      </w:r>
      <w:proofErr w:type="gramStart"/>
      <w:r w:rsidRPr="00B56C25">
        <w:rPr>
          <w:rFonts w:eastAsiaTheme="minorEastAsia"/>
          <w:color w:val="000000" w:themeColor="text1"/>
          <w:vertAlign w:val="subscript"/>
          <w:lang w:val="en-US"/>
        </w:rPr>
        <w:t>,c</w:t>
      </w:r>
      <w:proofErr w:type="spellEnd"/>
      <w:proofErr w:type="gramEnd"/>
      <w:r w:rsidRPr="00B56C25">
        <w:rPr>
          <w:rFonts w:eastAsiaTheme="minorEastAsia"/>
          <w:color w:val="000000" w:themeColor="text1"/>
          <w:lang w:val="en-US"/>
        </w:rPr>
        <w:t>-X/Y-Max(</w:t>
      </w:r>
      <w:proofErr w:type="spellStart"/>
      <w:r w:rsidRPr="00B56C25">
        <w:rPr>
          <w:rFonts w:eastAsiaTheme="minorEastAsia"/>
          <w:color w:val="000000" w:themeColor="text1"/>
          <w:lang w:val="en-US"/>
        </w:rPr>
        <w:t>MPRf,c</w:t>
      </w:r>
      <w:proofErr w:type="spellEnd"/>
      <w:r w:rsidRPr="00B56C25">
        <w:rPr>
          <w:rFonts w:eastAsiaTheme="minorEastAsia"/>
          <w:color w:val="000000" w:themeColor="text1"/>
          <w:lang w:val="en-US"/>
        </w:rPr>
        <w:t xml:space="preserve">, </w:t>
      </w:r>
      <w:proofErr w:type="spellStart"/>
      <w:r w:rsidRPr="00B56C25">
        <w:rPr>
          <w:rFonts w:eastAsiaTheme="minorEastAsia"/>
          <w:color w:val="000000" w:themeColor="text1"/>
          <w:lang w:val="en-US"/>
        </w:rPr>
        <w:t>MPRpa</w:t>
      </w:r>
      <w:proofErr w:type="spellEnd"/>
      <w:r w:rsidRPr="00B56C25">
        <w:rPr>
          <w:rFonts w:eastAsiaTheme="minorEastAsia"/>
          <w:color w:val="000000" w:themeColor="text1"/>
          <w:lang w:val="en-US"/>
        </w:rPr>
        <w:t>-pa))</w:t>
      </w:r>
      <w:r w:rsidRPr="00B56C25">
        <w:rPr>
          <w:rFonts w:eastAsiaTheme="minorEastAsia" w:hint="eastAsia"/>
          <w:color w:val="000000" w:themeColor="text1"/>
          <w:lang w:val="en-US"/>
        </w:rPr>
        <w:t>≤</w:t>
      </w:r>
      <w:r w:rsidRPr="00B56C25">
        <w:rPr>
          <w:rFonts w:eastAsiaTheme="minorEastAsia" w:hint="eastAsia"/>
          <w:color w:val="000000" w:themeColor="text1"/>
          <w:lang w:val="en-US"/>
        </w:rPr>
        <w:t xml:space="preserve"> P </w:t>
      </w:r>
      <w:r w:rsidRPr="00B56C25">
        <w:rPr>
          <w:rFonts w:eastAsiaTheme="minorEastAsia" w:hint="eastAsia"/>
          <w:color w:val="000000" w:themeColor="text1"/>
          <w:vertAlign w:val="subscript"/>
          <w:lang w:val="en-US"/>
        </w:rPr>
        <w:t>UMAX</w:t>
      </w:r>
      <w:r w:rsidRPr="00B56C25">
        <w:rPr>
          <w:rFonts w:eastAsiaTheme="minorEastAsia" w:hint="eastAsia"/>
          <w:color w:val="000000" w:themeColor="text1"/>
          <w:lang w:val="en-US"/>
        </w:rPr>
        <w:t xml:space="preserve">  </w:t>
      </w:r>
      <w:r w:rsidRPr="00B56C25">
        <w:rPr>
          <w:rFonts w:eastAsiaTheme="minorEastAsia" w:hint="eastAsia"/>
          <w:color w:val="000000" w:themeColor="text1"/>
          <w:lang w:val="en-US"/>
        </w:rPr>
        <w:t>≤</w:t>
      </w:r>
      <w:r w:rsidRPr="00B56C25">
        <w:rPr>
          <w:rFonts w:eastAsiaTheme="minorEastAsia" w:hint="eastAsia"/>
          <w:color w:val="000000" w:themeColor="text1"/>
          <w:lang w:val="en-US"/>
        </w:rPr>
        <w:t xml:space="preserve"> EIRP max</w:t>
      </w:r>
      <w:r w:rsidRPr="00B56C25">
        <w:rPr>
          <w:rFonts w:eastAsiaTheme="minorEastAsia"/>
          <w:color w:val="000000" w:themeColor="text1"/>
          <w:lang w:val="en-US"/>
        </w:rPr>
        <w:t xml:space="preserve"> + 3dB</w:t>
      </w:r>
    </w:p>
    <w:p w:rsidR="00B56C25" w:rsidRPr="00B56C25" w:rsidRDefault="00B56C25" w:rsidP="00B56C25">
      <w:pPr>
        <w:jc w:val="center"/>
        <w:rPr>
          <w:color w:val="000000" w:themeColor="text1"/>
          <w:lang w:val="en-US" w:eastAsia="en-US"/>
        </w:rPr>
      </w:pPr>
      <w:r w:rsidRPr="00B56C25">
        <w:rPr>
          <w:rFonts w:eastAsiaTheme="minorEastAsia" w:hint="eastAsia"/>
          <w:color w:val="000000" w:themeColor="text1"/>
          <w:lang w:val="en-US"/>
        </w:rPr>
        <w:t xml:space="preserve">P </w:t>
      </w:r>
      <w:r w:rsidRPr="00B56C25">
        <w:rPr>
          <w:rFonts w:eastAsiaTheme="minorEastAsia" w:hint="eastAsia"/>
          <w:color w:val="000000" w:themeColor="text1"/>
          <w:vertAlign w:val="subscript"/>
          <w:lang w:val="en-US"/>
        </w:rPr>
        <w:t>TMAX</w:t>
      </w:r>
      <w:proofErr w:type="gramStart"/>
      <w:r w:rsidRPr="00B56C25">
        <w:rPr>
          <w:rFonts w:eastAsiaTheme="minorEastAsia" w:hint="eastAsia"/>
          <w:color w:val="000000" w:themeColor="text1"/>
          <w:vertAlign w:val="subscript"/>
          <w:lang w:val="en-US"/>
        </w:rPr>
        <w:t>,</w:t>
      </w:r>
      <w:r w:rsidRPr="00B56C25">
        <w:rPr>
          <w:rFonts w:eastAsiaTheme="minorEastAsia" w:hint="eastAsia"/>
          <w:color w:val="000000" w:themeColor="text1"/>
          <w:lang w:val="en-US"/>
        </w:rPr>
        <w:t xml:space="preserve">  </w:t>
      </w:r>
      <w:r w:rsidRPr="00B56C25">
        <w:rPr>
          <w:rFonts w:eastAsiaTheme="minorEastAsia" w:hint="eastAsia"/>
          <w:color w:val="000000" w:themeColor="text1"/>
          <w:lang w:val="en-US"/>
        </w:rPr>
        <w:t>≤</w:t>
      </w:r>
      <w:proofErr w:type="gramEnd"/>
      <w:r w:rsidRPr="00B56C25">
        <w:rPr>
          <w:rFonts w:eastAsiaTheme="minorEastAsia" w:hint="eastAsia"/>
          <w:color w:val="000000" w:themeColor="text1"/>
          <w:lang w:val="en-US"/>
        </w:rPr>
        <w:t xml:space="preserve"> TRP max</w:t>
      </w:r>
    </w:p>
    <w:p w:rsidR="006758E0" w:rsidRDefault="00B56C25" w:rsidP="005369EE">
      <w:pPr>
        <w:rPr>
          <w:lang w:val="en-US" w:eastAsia="en-US"/>
        </w:rPr>
      </w:pPr>
      <w:r>
        <w:rPr>
          <w:lang w:val="en-US" w:eastAsia="en-US"/>
        </w:rPr>
        <w:t xml:space="preserve">Companies disagree with the proposal commented that </w:t>
      </w:r>
      <w:r>
        <w:t xml:space="preserve">power should be independent per band. Though that could be the case for inter-band CA, however, we cannot agree that the power is sum of two bands without any limitation. </w:t>
      </w:r>
      <w:r w:rsidR="00C63873">
        <w:t xml:space="preserve">Either we consider total power as defined by formula as above, or we consider </w:t>
      </w:r>
      <w:proofErr w:type="gramStart"/>
      <w:r w:rsidR="00C63873" w:rsidRPr="00C63873">
        <w:t>delta(</w:t>
      </w:r>
      <w:proofErr w:type="spellStart"/>
      <w:proofErr w:type="gramEnd"/>
      <w:r w:rsidR="00C63873" w:rsidRPr="00C63873">
        <w:t>TIB_peak</w:t>
      </w:r>
      <w:proofErr w:type="spellEnd"/>
      <w:r w:rsidR="00C63873" w:rsidRPr="00C63873">
        <w:t>)</w:t>
      </w:r>
      <w:r w:rsidR="00C63873">
        <w:t>. Also we think the TRP power for inter-band CA should not exceed the level for single band for sake of power consumption and thermal issue.</w:t>
      </w:r>
    </w:p>
    <w:p w:rsidR="00C63873" w:rsidRPr="005369EE" w:rsidRDefault="00C63873" w:rsidP="00C63873">
      <w:pPr>
        <w:rPr>
          <w:b/>
          <w:i/>
          <w:lang w:val="en-US" w:eastAsia="en-US"/>
        </w:rPr>
      </w:pPr>
      <w:r w:rsidRPr="005369EE">
        <w:rPr>
          <w:b/>
          <w:i/>
          <w:lang w:val="en-US" w:eastAsia="en-US"/>
        </w:rPr>
        <w:t xml:space="preserve">Proposal </w:t>
      </w:r>
      <w:r>
        <w:rPr>
          <w:b/>
          <w:i/>
          <w:lang w:val="en-US" w:eastAsia="en-US"/>
        </w:rPr>
        <w:t>1</w:t>
      </w:r>
      <w:r w:rsidRPr="005369EE">
        <w:rPr>
          <w:b/>
          <w:i/>
          <w:lang w:val="en-US" w:eastAsia="en-US"/>
        </w:rPr>
        <w:t>:</w:t>
      </w:r>
      <w:r w:rsidR="00F2500A">
        <w:rPr>
          <w:b/>
          <w:i/>
          <w:lang w:val="en-US" w:eastAsia="en-US"/>
        </w:rPr>
        <w:t xml:space="preserve"> Total power concept is considered either by the formula proposed above or by </w:t>
      </w:r>
      <w:proofErr w:type="gramStart"/>
      <w:r w:rsidR="00F2500A" w:rsidRPr="00F2500A">
        <w:rPr>
          <w:b/>
          <w:i/>
          <w:lang w:val="en-US" w:eastAsia="en-US"/>
        </w:rPr>
        <w:t>delta(</w:t>
      </w:r>
      <w:proofErr w:type="spellStart"/>
      <w:proofErr w:type="gramEnd"/>
      <w:r w:rsidR="00F2500A" w:rsidRPr="00F2500A">
        <w:rPr>
          <w:b/>
          <w:i/>
          <w:lang w:val="en-US" w:eastAsia="en-US"/>
        </w:rPr>
        <w:t>TIB_peak</w:t>
      </w:r>
      <w:proofErr w:type="spellEnd"/>
      <w:r w:rsidR="00F2500A" w:rsidRPr="00F2500A">
        <w:rPr>
          <w:b/>
          <w:i/>
          <w:lang w:val="en-US" w:eastAsia="en-US"/>
        </w:rPr>
        <w:t>)</w:t>
      </w:r>
      <w:r w:rsidRPr="005369EE">
        <w:rPr>
          <w:b/>
          <w:i/>
          <w:lang w:val="en-US" w:eastAsia="en-US"/>
        </w:rPr>
        <w:t>.</w:t>
      </w:r>
      <w:r w:rsidR="00F2500A">
        <w:rPr>
          <w:b/>
          <w:i/>
          <w:lang w:val="en-US" w:eastAsia="en-US"/>
        </w:rPr>
        <w:t xml:space="preserve"> </w:t>
      </w:r>
      <w:r w:rsidR="00F2500A" w:rsidRPr="00F2500A">
        <w:rPr>
          <w:b/>
          <w:i/>
          <w:lang w:val="en-US" w:eastAsia="en-US"/>
        </w:rPr>
        <w:t xml:space="preserve">TRP power for inter-band </w:t>
      </w:r>
      <w:r w:rsidR="00F2500A">
        <w:rPr>
          <w:b/>
          <w:i/>
          <w:lang w:val="en-US" w:eastAsia="en-US"/>
        </w:rPr>
        <w:t xml:space="preserve">UL </w:t>
      </w:r>
      <w:r w:rsidR="00F2500A" w:rsidRPr="00F2500A">
        <w:rPr>
          <w:b/>
          <w:i/>
          <w:lang w:val="en-US" w:eastAsia="en-US"/>
        </w:rPr>
        <w:t>CA should not exceed the level for single band</w:t>
      </w:r>
      <w:r w:rsidR="00F2500A">
        <w:rPr>
          <w:b/>
          <w:i/>
          <w:lang w:val="en-US" w:eastAsia="en-US"/>
        </w:rPr>
        <w:t>.</w:t>
      </w:r>
    </w:p>
    <w:p w:rsidR="00B56C25" w:rsidRDefault="00B56C25" w:rsidP="005369EE">
      <w:pPr>
        <w:rPr>
          <w:lang w:val="en-US" w:eastAsia="en-US"/>
        </w:rPr>
      </w:pPr>
    </w:p>
    <w:p w:rsidR="00D6540A" w:rsidRPr="006758E0" w:rsidRDefault="00D6540A" w:rsidP="005369EE">
      <w:pPr>
        <w:rPr>
          <w:b/>
          <w:u w:val="single"/>
          <w:lang w:val="x-none"/>
        </w:rPr>
      </w:pPr>
      <w:r w:rsidRPr="006758E0">
        <w:rPr>
          <w:b/>
          <w:u w:val="single"/>
          <w:lang w:val="x-none"/>
        </w:rPr>
        <w:t>Power Control</w:t>
      </w:r>
    </w:p>
    <w:p w:rsidR="00D6540A" w:rsidRPr="00D6540A" w:rsidRDefault="00D6540A" w:rsidP="00D6540A">
      <w:pPr>
        <w:pStyle w:val="ListParagraph"/>
        <w:widowControl/>
        <w:numPr>
          <w:ilvl w:val="0"/>
          <w:numId w:val="47"/>
        </w:numPr>
        <w:spacing w:after="180"/>
        <w:ind w:firstLineChars="0"/>
        <w:contextualSpacing/>
        <w:jc w:val="left"/>
        <w:rPr>
          <w:rFonts w:ascii="Times New Roman" w:hAnsi="Times New Roman"/>
          <w:bCs/>
          <w:sz w:val="20"/>
        </w:rPr>
      </w:pPr>
      <w:r w:rsidRPr="006758E0">
        <w:rPr>
          <w:rFonts w:ascii="Times New Roman" w:hAnsi="Times New Roman"/>
          <w:bCs/>
          <w:sz w:val="20"/>
          <w:highlight w:val="yellow"/>
          <w:lang w:val="en-US"/>
        </w:rPr>
        <w:t>FFS. Continue discussion in next meeting if changes are needed</w:t>
      </w:r>
      <w:r w:rsidRPr="00D6540A">
        <w:rPr>
          <w:rFonts w:ascii="Times New Roman" w:hAnsi="Times New Roman"/>
          <w:bCs/>
          <w:sz w:val="20"/>
          <w:lang w:val="en-US"/>
        </w:rPr>
        <w:t>. Options:</w:t>
      </w:r>
    </w:p>
    <w:p w:rsidR="00D6540A" w:rsidRPr="00D6540A" w:rsidRDefault="00D6540A" w:rsidP="00D6540A">
      <w:pPr>
        <w:pStyle w:val="ListParagraph"/>
        <w:widowControl/>
        <w:numPr>
          <w:ilvl w:val="1"/>
          <w:numId w:val="47"/>
        </w:numPr>
        <w:spacing w:after="180"/>
        <w:ind w:firstLineChars="0"/>
        <w:contextualSpacing/>
        <w:jc w:val="left"/>
        <w:rPr>
          <w:rFonts w:ascii="Times New Roman" w:hAnsi="Times New Roman"/>
          <w:bCs/>
          <w:sz w:val="20"/>
        </w:rPr>
      </w:pPr>
      <w:proofErr w:type="gramStart"/>
      <w:r w:rsidRPr="00D6540A">
        <w:rPr>
          <w:rFonts w:ascii="Times New Roman" w:hAnsi="Times New Roman"/>
          <w:bCs/>
          <w:sz w:val="20"/>
          <w:lang w:val="en-US"/>
        </w:rPr>
        <w:t>for</w:t>
      </w:r>
      <w:proofErr w:type="gramEnd"/>
      <w:r w:rsidRPr="00D6540A">
        <w:rPr>
          <w:rFonts w:ascii="Times New Roman" w:hAnsi="Times New Roman"/>
          <w:bCs/>
          <w:sz w:val="20"/>
          <w:lang w:val="en-US"/>
        </w:rPr>
        <w:t xml:space="preserve"> UL inter-band CA power control in FR2, the existing behavior in 38.213 is assumed: the UE configures a PCMAX in an implementation-specific manner like for the intra-band case and relative power limits are used for controlling the power on the serving cells. PCMAX ≥ </w:t>
      </w:r>
      <w:proofErr w:type="spellStart"/>
      <w:r w:rsidRPr="00D6540A">
        <w:rPr>
          <w:rFonts w:ascii="Times New Roman" w:hAnsi="Times New Roman"/>
          <w:bCs/>
          <w:sz w:val="20"/>
          <w:lang w:val="en-US"/>
        </w:rPr>
        <w:t>PCMAX,f,c</w:t>
      </w:r>
      <w:proofErr w:type="spellEnd"/>
      <w:r w:rsidRPr="00D6540A">
        <w:rPr>
          <w:rFonts w:ascii="Times New Roman" w:hAnsi="Times New Roman"/>
          <w:bCs/>
          <w:sz w:val="20"/>
          <w:lang w:val="en-US"/>
        </w:rPr>
        <w:t xml:space="preserve"> for each configured serving cell c with </w:t>
      </w:r>
      <w:proofErr w:type="spellStart"/>
      <w:r w:rsidRPr="00D6540A">
        <w:rPr>
          <w:rFonts w:ascii="Times New Roman" w:hAnsi="Times New Roman"/>
          <w:bCs/>
          <w:sz w:val="20"/>
          <w:lang w:val="en-US"/>
        </w:rPr>
        <w:t>PCMAX,f,c</w:t>
      </w:r>
      <w:proofErr w:type="spellEnd"/>
      <w:r w:rsidRPr="00D6540A">
        <w:rPr>
          <w:rFonts w:ascii="Times New Roman" w:hAnsi="Times New Roman"/>
          <w:bCs/>
          <w:sz w:val="20"/>
          <w:lang w:val="en-US"/>
        </w:rPr>
        <w:t xml:space="preserve"> as specified in clause 6.2.4 with parameters MPR and A-MPR as specified per serving cell or modified as needed for the band combination (CA MPR)</w:t>
      </w:r>
    </w:p>
    <w:p w:rsidR="00D6540A" w:rsidRPr="00D6540A" w:rsidRDefault="00D6540A" w:rsidP="00D6540A">
      <w:pPr>
        <w:pStyle w:val="ListParagraph"/>
        <w:widowControl/>
        <w:numPr>
          <w:ilvl w:val="1"/>
          <w:numId w:val="47"/>
        </w:numPr>
        <w:spacing w:after="180"/>
        <w:ind w:firstLineChars="0"/>
        <w:contextualSpacing/>
        <w:jc w:val="left"/>
        <w:rPr>
          <w:rFonts w:ascii="Times New Roman" w:hAnsi="Times New Roman"/>
          <w:bCs/>
          <w:sz w:val="20"/>
        </w:rPr>
      </w:pPr>
      <w:r w:rsidRPr="00D6540A">
        <w:rPr>
          <w:rFonts w:ascii="Times New Roman" w:hAnsi="Times New Roman"/>
          <w:bCs/>
          <w:sz w:val="20"/>
        </w:rPr>
        <w:t xml:space="preserve">Wait for resolution of </w:t>
      </w:r>
      <w:proofErr w:type="spellStart"/>
      <w:r w:rsidRPr="00D6540A">
        <w:rPr>
          <w:rFonts w:ascii="Times New Roman" w:hAnsi="Times New Roman"/>
          <w:bCs/>
          <w:sz w:val="20"/>
        </w:rPr>
        <w:t>Scell</w:t>
      </w:r>
      <w:proofErr w:type="spellEnd"/>
      <w:r w:rsidRPr="00D6540A">
        <w:rPr>
          <w:rFonts w:ascii="Times New Roman" w:hAnsi="Times New Roman"/>
          <w:bCs/>
          <w:sz w:val="20"/>
        </w:rPr>
        <w:t xml:space="preserve"> dropping problem in intra-band ULCA case</w:t>
      </w:r>
    </w:p>
    <w:p w:rsidR="00D6540A" w:rsidRPr="00D6540A" w:rsidRDefault="00D6540A" w:rsidP="00D6540A">
      <w:pPr>
        <w:pStyle w:val="ListParagraph"/>
        <w:widowControl/>
        <w:numPr>
          <w:ilvl w:val="1"/>
          <w:numId w:val="47"/>
        </w:numPr>
        <w:spacing w:after="180"/>
        <w:ind w:firstLineChars="0"/>
        <w:contextualSpacing/>
        <w:jc w:val="left"/>
        <w:rPr>
          <w:rFonts w:ascii="Times New Roman" w:hAnsi="Times New Roman"/>
          <w:bCs/>
          <w:sz w:val="20"/>
        </w:rPr>
      </w:pPr>
      <w:r w:rsidRPr="00D6540A">
        <w:rPr>
          <w:rFonts w:ascii="Times New Roman" w:hAnsi="Times New Roman"/>
          <w:bCs/>
          <w:sz w:val="20"/>
        </w:rPr>
        <w:lastRenderedPageBreak/>
        <w:t>Other</w:t>
      </w:r>
    </w:p>
    <w:p w:rsidR="00D6540A" w:rsidRDefault="006758E0" w:rsidP="005369EE">
      <w:pPr>
        <w:rPr>
          <w:lang w:val="en-US" w:eastAsia="en-US"/>
        </w:rPr>
      </w:pPr>
      <w:r>
        <w:rPr>
          <w:lang w:val="en-US" w:eastAsia="en-US"/>
        </w:rPr>
        <w:t xml:space="preserve">During the discussion, companies have different understanding for the options. The issue is also related to the SCell dropping discussion in UE RF FR1. Before we have clear conclusion for the SCell dropping solution for intra-band UL CA, we don’t think that further discussion is needed. </w:t>
      </w:r>
    </w:p>
    <w:p w:rsidR="00B56C25" w:rsidRPr="005369EE" w:rsidRDefault="00B56C25" w:rsidP="00B56C25">
      <w:pPr>
        <w:rPr>
          <w:b/>
          <w:i/>
          <w:lang w:val="en-US" w:eastAsia="en-US"/>
        </w:rPr>
      </w:pPr>
      <w:r w:rsidRPr="005369EE">
        <w:rPr>
          <w:b/>
          <w:i/>
          <w:lang w:val="en-US" w:eastAsia="en-US"/>
        </w:rPr>
        <w:t xml:space="preserve">Proposal </w:t>
      </w:r>
      <w:r w:rsidR="00C63873">
        <w:rPr>
          <w:b/>
          <w:i/>
          <w:lang w:val="en-US" w:eastAsia="en-US"/>
        </w:rPr>
        <w:t>2</w:t>
      </w:r>
      <w:r w:rsidRPr="005369EE">
        <w:rPr>
          <w:b/>
          <w:i/>
          <w:lang w:val="en-US" w:eastAsia="en-US"/>
        </w:rPr>
        <w:t xml:space="preserve">: </w:t>
      </w:r>
      <w:r>
        <w:rPr>
          <w:b/>
          <w:i/>
          <w:lang w:val="en-US" w:eastAsia="en-US"/>
        </w:rPr>
        <w:t xml:space="preserve">Before </w:t>
      </w:r>
      <w:r w:rsidR="00C63873">
        <w:rPr>
          <w:b/>
          <w:i/>
          <w:lang w:val="en-US" w:eastAsia="en-US"/>
        </w:rPr>
        <w:t>conclusion of SCell dropping solution for intra-band CA, no need to have further discussion on power control for FR2 UL inter-band CA case</w:t>
      </w:r>
      <w:r w:rsidRPr="005369EE">
        <w:rPr>
          <w:b/>
          <w:i/>
          <w:lang w:val="en-US" w:eastAsia="en-US"/>
        </w:rPr>
        <w:t>.</w:t>
      </w:r>
    </w:p>
    <w:p w:rsidR="00B56C25" w:rsidRDefault="00B56C25" w:rsidP="005369EE">
      <w:pPr>
        <w:rPr>
          <w:lang w:val="en-US" w:eastAsia="en-US"/>
        </w:rPr>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F2500A">
        <w:t>our consideration for FR2 inter-band UL based on the WF in last meeting. For the remaining issues, we have the following proposals:</w:t>
      </w:r>
    </w:p>
    <w:p w:rsidR="00F2500A" w:rsidRDefault="00F2500A" w:rsidP="00F2500A">
      <w:pPr>
        <w:rPr>
          <w:b/>
          <w:i/>
          <w:lang w:val="en-US" w:eastAsia="en-US"/>
        </w:rPr>
      </w:pPr>
      <w:r w:rsidRPr="005369EE">
        <w:rPr>
          <w:b/>
          <w:i/>
          <w:lang w:val="en-US" w:eastAsia="en-US"/>
        </w:rPr>
        <w:t xml:space="preserve">Proposal </w:t>
      </w:r>
      <w:r>
        <w:rPr>
          <w:b/>
          <w:i/>
          <w:lang w:val="en-US" w:eastAsia="en-US"/>
        </w:rPr>
        <w:t>1</w:t>
      </w:r>
      <w:r w:rsidRPr="005369EE">
        <w:rPr>
          <w:b/>
          <w:i/>
          <w:lang w:val="en-US" w:eastAsia="en-US"/>
        </w:rPr>
        <w:t>:</w:t>
      </w:r>
      <w:r>
        <w:rPr>
          <w:b/>
          <w:i/>
          <w:lang w:val="en-US" w:eastAsia="en-US"/>
        </w:rPr>
        <w:t xml:space="preserve"> Total power concept is considered either by the formula proposed above or by </w:t>
      </w:r>
      <w:proofErr w:type="gramStart"/>
      <w:r w:rsidRPr="00F2500A">
        <w:rPr>
          <w:b/>
          <w:i/>
          <w:lang w:val="en-US" w:eastAsia="en-US"/>
        </w:rPr>
        <w:t>delta(</w:t>
      </w:r>
      <w:proofErr w:type="spellStart"/>
      <w:proofErr w:type="gramEnd"/>
      <w:r w:rsidRPr="00F2500A">
        <w:rPr>
          <w:b/>
          <w:i/>
          <w:lang w:val="en-US" w:eastAsia="en-US"/>
        </w:rPr>
        <w:t>TIB_peak</w:t>
      </w:r>
      <w:proofErr w:type="spellEnd"/>
      <w:r w:rsidRPr="00F2500A">
        <w:rPr>
          <w:b/>
          <w:i/>
          <w:lang w:val="en-US" w:eastAsia="en-US"/>
        </w:rPr>
        <w:t>)</w:t>
      </w:r>
      <w:r w:rsidRPr="005369EE">
        <w:rPr>
          <w:b/>
          <w:i/>
          <w:lang w:val="en-US" w:eastAsia="en-US"/>
        </w:rPr>
        <w:t>.</w:t>
      </w:r>
      <w:r>
        <w:rPr>
          <w:b/>
          <w:i/>
          <w:lang w:val="en-US" w:eastAsia="en-US"/>
        </w:rPr>
        <w:t xml:space="preserve"> </w:t>
      </w:r>
      <w:r w:rsidRPr="00F2500A">
        <w:rPr>
          <w:b/>
          <w:i/>
          <w:lang w:val="en-US" w:eastAsia="en-US"/>
        </w:rPr>
        <w:t xml:space="preserve">TRP power for inter-band </w:t>
      </w:r>
      <w:r>
        <w:rPr>
          <w:b/>
          <w:i/>
          <w:lang w:val="en-US" w:eastAsia="en-US"/>
        </w:rPr>
        <w:t xml:space="preserve">UL </w:t>
      </w:r>
      <w:r w:rsidRPr="00F2500A">
        <w:rPr>
          <w:b/>
          <w:i/>
          <w:lang w:val="en-US" w:eastAsia="en-US"/>
        </w:rPr>
        <w:t>CA should not exceed the level for single band</w:t>
      </w:r>
      <w:r>
        <w:rPr>
          <w:b/>
          <w:i/>
          <w:lang w:val="en-US" w:eastAsia="en-US"/>
        </w:rPr>
        <w:t>.</w:t>
      </w:r>
    </w:p>
    <w:p w:rsidR="00F2500A" w:rsidRPr="005369EE" w:rsidRDefault="00F2500A" w:rsidP="00F2500A">
      <w:pPr>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Before conclusion of SCell dropping solution for intra-band CA, no need to have further discussion on power control for FR2 UL inter-band CA case</w:t>
      </w:r>
      <w:r w:rsidRPr="005369EE">
        <w:rPr>
          <w:b/>
          <w:i/>
          <w:lang w:val="en-US" w:eastAsia="en-US"/>
        </w:rPr>
        <w:t>.</w:t>
      </w:r>
    </w:p>
    <w:p w:rsidR="00F2500A" w:rsidRPr="005369EE" w:rsidRDefault="00F2500A" w:rsidP="00F2500A">
      <w:pPr>
        <w:rPr>
          <w:b/>
          <w:i/>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D6540A" w:rsidRPr="00D6540A">
        <w:rPr>
          <w:lang w:eastAsia="ja-JP"/>
        </w:rPr>
        <w:t>R4-2202343</w:t>
      </w:r>
      <w:r w:rsidR="00D6540A">
        <w:rPr>
          <w:lang w:eastAsia="ja-JP"/>
        </w:rPr>
        <w:t xml:space="preserve">, </w:t>
      </w:r>
      <w:r w:rsidR="00D6540A" w:rsidRPr="00D6540A">
        <w:rPr>
          <w:lang w:eastAsia="ja-JP"/>
        </w:rPr>
        <w:t>WF on FR2+FR2 inter-band UL CA</w:t>
      </w:r>
      <w:r w:rsidR="00D6540A">
        <w:rPr>
          <w:lang w:eastAsia="ja-JP"/>
        </w:rPr>
        <w:t>, Qualcomm</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921" w:rsidRDefault="00931921" w:rsidP="0052762B">
      <w:r>
        <w:separator/>
      </w:r>
    </w:p>
  </w:endnote>
  <w:endnote w:type="continuationSeparator" w:id="0">
    <w:p w:rsidR="00931921" w:rsidRDefault="0093192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921" w:rsidRDefault="00931921" w:rsidP="0052762B">
      <w:r>
        <w:separator/>
      </w:r>
    </w:p>
  </w:footnote>
  <w:footnote w:type="continuationSeparator" w:id="0">
    <w:p w:rsidR="00931921" w:rsidRDefault="0093192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D8511C"/>
    <w:multiLevelType w:val="multilevel"/>
    <w:tmpl w:val="10D851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CE4BD2"/>
    <w:multiLevelType w:val="multilevel"/>
    <w:tmpl w:val="27CE4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763E58"/>
    <w:multiLevelType w:val="multilevel"/>
    <w:tmpl w:val="4E763E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9"/>
  </w:num>
  <w:num w:numId="4">
    <w:abstractNumId w:val="41"/>
  </w:num>
  <w:num w:numId="5">
    <w:abstractNumId w:val="1"/>
  </w:num>
  <w:num w:numId="6">
    <w:abstractNumId w:val="40"/>
  </w:num>
  <w:num w:numId="7">
    <w:abstractNumId w:val="19"/>
  </w:num>
  <w:num w:numId="8">
    <w:abstractNumId w:val="33"/>
  </w:num>
  <w:num w:numId="9">
    <w:abstractNumId w:val="43"/>
  </w:num>
  <w:num w:numId="10">
    <w:abstractNumId w:val="14"/>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8"/>
  </w:num>
  <w:num w:numId="20">
    <w:abstractNumId w:val="26"/>
  </w:num>
  <w:num w:numId="21">
    <w:abstractNumId w:val="16"/>
  </w:num>
  <w:num w:numId="22">
    <w:abstractNumId w:val="6"/>
  </w:num>
  <w:num w:numId="23">
    <w:abstractNumId w:val="25"/>
  </w:num>
  <w:num w:numId="24">
    <w:abstractNumId w:val="39"/>
  </w:num>
  <w:num w:numId="25">
    <w:abstractNumId w:val="9"/>
  </w:num>
  <w:num w:numId="26">
    <w:abstractNumId w:val="38"/>
  </w:num>
  <w:num w:numId="27">
    <w:abstractNumId w:val="37"/>
  </w:num>
  <w:num w:numId="28">
    <w:abstractNumId w:val="20"/>
  </w:num>
  <w:num w:numId="29">
    <w:abstractNumId w:val="42"/>
  </w:num>
  <w:num w:numId="30">
    <w:abstractNumId w:val="30"/>
  </w:num>
  <w:num w:numId="31">
    <w:abstractNumId w:val="18"/>
  </w:num>
  <w:num w:numId="32">
    <w:abstractNumId w:val="34"/>
  </w:num>
  <w:num w:numId="33">
    <w:abstractNumId w:val="7"/>
  </w:num>
  <w:num w:numId="34">
    <w:abstractNumId w:val="10"/>
  </w:num>
  <w:num w:numId="35">
    <w:abstractNumId w:val="35"/>
  </w:num>
  <w:num w:numId="36">
    <w:abstractNumId w:val="21"/>
  </w:num>
  <w:num w:numId="37">
    <w:abstractNumId w:val="8"/>
  </w:num>
  <w:num w:numId="38">
    <w:abstractNumId w:val="31"/>
  </w:num>
  <w:num w:numId="39">
    <w:abstractNumId w:val="3"/>
  </w:num>
  <w:num w:numId="40">
    <w:abstractNumId w:val="27"/>
  </w:num>
  <w:num w:numId="41">
    <w:abstractNumId w:val="17"/>
  </w:num>
  <w:num w:numId="42">
    <w:abstractNumId w:val="15"/>
  </w:num>
  <w:num w:numId="43">
    <w:abstractNumId w:val="23"/>
  </w:num>
  <w:num w:numId="44">
    <w:abstractNumId w:val="36"/>
  </w:num>
  <w:num w:numId="45">
    <w:abstractNumId w:val="13"/>
  </w:num>
  <w:num w:numId="46">
    <w:abstractNumId w:val="32"/>
  </w:num>
  <w:num w:numId="4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97"/>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8E0"/>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065"/>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83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921"/>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6C25"/>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873"/>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0A"/>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00A"/>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927"/>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00A"/>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D4DE6-4AFC-406A-ACAB-CA21C720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TotalTime>
  <Pages>2</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2022-02-14T15:22:00Z</dcterms:created>
  <dcterms:modified xsi:type="dcterms:W3CDTF">2022-02-14T16:51:00Z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(3)rF1bSvzV3CHh0jLgZT32gLbtALOrH9JweTAlNJP25gQ5dB9W1XWMTvOCLPfmZY5Jt/q6lb4E
vnEExUHtEXCM19hi8VJ0EKYxfpZyKBNVM0STNLOuXSmVfkoB34jzZtNj7uWCl1rOLm1j0XwM
FL2prrJ60UgBzy/9HW5WcCt4l9wh0SkPlfkbvkF1TCeLpGv9MTrkRKz6WaLytbpJbymUueVB
HVzGG0UkJ4noLADl+x</vt:lpwstr>
  </property>
  <property fmtid="{D5CDD505-2E9C-101B-9397-08002B2CF9AE}" pid="15" name="_2015_ms_pID_725343_00">
    <vt:lpwstr>_2015_ms_pID_725343</vt:lpwstr>
  </property>
  <property fmtid="{D5CDD505-2E9C-101B-9397-08002B2CF9AE}" pid="16" name="_2015_ms_pID_7253431">
    <vt:lpwstr>QvHHMTct69VN+4DfaYqyNC1TWq1NyTJWz4KfkD8qw2DeNGmCEirwmo
yFZogVVzTvXRHpwSUuD3AXVSUaftT2Nl4Pf+ugKv6lJLxBJrs+BZ2ReVLAl2Ss1gPINNPUD/
An2TY5Piclz4UvmeibRTiyVSeILmvMxa8qtIIErDxjk2lugw6f7vehCgf1gYWTd2LHM/7/XF
6uwMh5Q2owD9fmBYOYHM5ZHGGUOnkdb17PFh</vt:lpwstr>
  </property>
  <property fmtid="{D5CDD505-2E9C-101B-9397-08002B2CF9AE}" pid="17" name="_2015_ms_pID_7253431_00">
    <vt:lpwstr>_2015_ms_pID_7253431</vt:lpwstr>
  </property>
  <property fmtid="{D5CDD505-2E9C-101B-9397-08002B2CF9AE}" pid="18" name="_2015_ms_pID_7253432">
    <vt:lpwstr>dV53kU+UVqGSZf9FpnLSOi4=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